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405</w:t>
      </w:r>
    </w:p>
    <w:p>
      <w:r>
        <w:t>Bundesgericht (BGE), 2000-09-04, FR</w:t>
      </w:r>
    </w:p>
    <w:p>
      <w:r>
        <w:rPr>
          <w:b/>
        </w:rPr>
        <w:t xml:space="preserve">Quelle: </w:t>
      </w:r>
      <w:r>
        <w:t>https://mcp.opencaselaw.ch/entscheid/bge_137 V 405</w:t>
      </w:r>
    </w:p>
    <w:p>
      <w:r>
        <w:t>FR: ATF 137 V 405</w:t>
      </w:r>
    </w:p>
    <w:p>
      <w:r>
        <w:t>IT: DTF 137 V 405</w:t>
      </w:r>
    </w:p>
    <w:p>
      <w:pPr>
        <w:pStyle w:val="Heading2"/>
      </w:pPr>
      <w:r>
        <w:t>Regeste</w:t>
      </w:r>
    </w:p>
    <w:p>
      <w:r>
        <w:t>Regeste Art. 24 Abs. 1 UVV. Der Begriff Kurzarbeit in Art. 24 Abs. 1 UVV kann sich nur nach der Regelung im AVIG richten. Es handelt sich um einen Arbeitsausfall im Sinne der Art. 31 ff. AVIG (E. 4).</w:t>
      </w:r>
    </w:p>
    <w:p>
      <w:pPr>
        <w:pStyle w:val="Heading2"/>
      </w:pPr>
      <w:r>
        <w:t>Erwägungen</w:t>
      </w:r>
    </w:p>
    <w:p>
      <w:r>
        <w:rPr>
          <w:b/>
        </w:rPr>
        <w:t>E. 2</w:t>
      </w:r>
    </w:p>
    <w:p>
      <w:r>
        <w:t>Selon l'art. 15 de la loi fédérale du 20 mars 1981 sur l'assurance-accidents (LAA; RS 832.20), entrée en vigueur le 1 er janvier 1984, les indemnités journalières et les rentes sont calculées d'après le gain assuré (al. 1). Est déterminant pour le calcul des rentes le salaire que l'assuré a gagné durant l'année qui a précédé l'accident (art. 15 al. 2, 2 e phrase, LAA). Le Conseil fédéral édicte des prescriptions sur le gain assuré pris en considération dans des cas spéciaux (al. 3). Faisant usage de cette délégation de compétence, le Conseil fédéral a édicté des dispositions dans l'ordonnance du 20 décembre 1982 sur l'assurance-accidents (OLAA; RS 832.202), notamment à son art. 24 intitulé "Salaire déterminant pour les rentes dans les cas spéciaux".</w:t>
      </w:r>
    </w:p>
    <w:p>
      <w:r>
        <w:rPr>
          <w:b/>
        </w:rPr>
        <w:t>E. 3</w:t>
      </w:r>
    </w:p>
    <w:p>
      <w:r>
        <w:t>Pour déterminer le gain assuré, la CNA s'est fondée sur des données salariales fournies par l'ancien employeur du recourant. Il en résultait que l'assuré avait perçu durant l'année ayant précédé l'accident (12 janvier 1998 au 11 janvier 1999) un salaire de 38'874 fr. 70 (conformément à l'extrait du livre de paie de l'employeur). Elle a fait application de l' art. 24 al. 2 OLAA . D'après cette disposition,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Aussi bien la CNA a-t-elle fixé le gain que l'assuré aurait réalisé du 1 er janvier 2007 au 31 décembre 2007 en adaptant le montant de 38'874 fr. 70 à l'indice des salaires nominaux établi par l'Office fédéral de la statistique (OFS) pour les hommes dans les industries manufacturières, l'indice de référence étant de 104.7 pour les années 1998/1999 et 115.2 pour l'année 2006. Elle a tenu compte, à raison d'une augmentation de 1,6 %, de l'évolution des salaires nominaux en 2007. Elle a obtenu un gain annuel assuré de 43'458 fr. selon le calcul suivant: 38'874 fr. 70 : 104.7 x 115.2 + 1,6 % = 43'458 fr. La juridiction cantonale a confirmé ce calcul.</w:t>
      </w:r>
    </w:p>
    <w:p>
      <w:r>
        <w:rPr>
          <w:b/>
        </w:rPr>
        <w:t>E. 4.1</w:t>
      </w:r>
    </w:p>
    <w:p>
      <w:r>
        <w:t>L' art. 24 al. 1 OLAA prévoit que si, au cours de l'année qui précède l'accident, le salaire de l'assuré a été réduit par suite de service BGE 137 V 405 S. 408 militaire, de service civil, de service de protection civile, ou par suite d'accident, de maladie, de maternité, de chômage ou de réduction de l'horaire de travail, le gain assuré est celui que l'assuré aurait reçu sans la survenance de ces éventualités.</w:t>
      </w:r>
    </w:p>
    <w:p>
      <w:r>
        <w:rPr>
          <w:b/>
        </w:rPr>
        <w:t>E. 4.2</w:t>
      </w:r>
    </w:p>
    <w:p>
      <w:r>
        <w:t>Le recourant se prévaut de cette disposition. Comme en première instance, il fait valoir que son horaire de travail normal était de 45 heures par semaine. Il a été réduit durant les mois d'août, novembre et décembre 1998, mois pour lesquels il n'a pas reçu un plein salaire. En août, la baisse s'expliquait par les fortes chaleurs ainsi que par les vacances généralisées durant cette période. Pour ce qui est des mois de novembre et décembre, il s'agissait d'une baisse qui tient "généralement aux conditions météorologiques". Le recourant soutient donc que son revenu devrait être annualisé en fonction d'une durée normale de travail, c'est-à-dire non compte tenu des baisses d'activité durant les trois mois précités. Il fait valoir à ce propos que la réduction de son horaire de travail n'était pas volontaire, de sorte qu'elle doit être considérée comme une réduction de l'horaire de travail au sens de l' art. 24 al. 1 OLAA .</w:t>
      </w:r>
    </w:p>
    <w:p>
      <w:r>
        <w:rPr>
          <w:b/>
        </w:rPr>
        <w:t>E. 4.3</w:t>
      </w:r>
    </w:p>
    <w:p>
      <w:r>
        <w:t>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135 III 640 consid. 2.3.1 p. 644 et la jurisprudence citée).</w:t>
      </w:r>
    </w:p>
    <w:p>
      <w:r>
        <w:rPr>
          <w:b/>
        </w:rPr>
        <w:t>E. 4.4</w:t>
      </w:r>
    </w:p>
    <w:p>
      <w:r>
        <w:t>La disposition réglementaire en cause vise des situations où l'assuré a subi une perte de salaire dans l'année de référence en raison de l'une des éventualités énumérées. Contrairement à l'avis du recourant et comme l'ont retenu avec raison les premiers juges, les termes "réduction de l'horaire de travail" ("Kurzarbeit"; "lavoro ridotto") recouvrent une notion précise du droit des assurances sociales. Ils correspondent littéralement à la terminologie utilisée dans l'assurance-chômage en matière de réduction de l'horaire de travail justifiant le droit à une indemnité en application des art. 31 ss de la loi BGE 137 V 405 S. 409 fédérale du 25 juin 1982 sur l'assurance-chômage obligatoire et l'indemnité en cas d'insolvabilité (loi sur l'assurance-chômage, LACI; RS 837.0). Il est à relever aussi que la version initiale en français de l' art. 24 al. 1 OLAA parlait dans l'énumération de (...) "maternité, de chômage ou de chômage partiel" (RO 1983 38). Cette dernière expression de chômage partiel correspondait du point de vue de la terminologie à la réduction de l'horaire de travail sous l'empire du régime transitoire du 8 octobre 1976, abrogé avec l'entrée en vigueur de la LACI, le 1 er janvier 1984 (voir BORIS RUBIN, Assurance-chômage, 2 e éd. 2006, p. 474 n° 6.1.1.2.1). Elle a été corrigée par la publication d'un erratum dans la Feuille fédérale (RO 2001 1663), mentionnant désormais, en lieu et place du chômage partiel et conformément au vocabulaire de la LACI, la réduction de l'horaire de travail dans les causes de réduction du salaire énumérées à l' art. 24 al. 1 OLAA . On notera encore que le Conseil fédéral, contrairement à ce qu'il a prévu pour le calcul de l'indemnité journalière ( art. 23 al. 3 OLAA ), n'a pas adopté dans le domaine des rentes de réglementation spéciale pour les situations où le salaire a subi de fortes variations. Cela s'explique par le fait que la période de référence d'une année est suffisamment longue et qu'il n'est donc pas inéquitable de tenir compte de ces variations (cf. RAMA 1990 p. 385, U 90/89 consid. 3c; voir aussi ANDRÉ PIERRE HOLZER, Der versicherte Verdienst in der obligatorischen Unfallversicherung, RSAS 2010 p. 222 ss). A elles seules, des fluctuations de salaire au cours de certains mois de l'année qui a précédé l'accident ne justifient donc pas une adaptation du gain annuel en fonction du gain (plus élevé) réalisé les autres mois.</w:t>
      </w:r>
    </w:p>
    <w:p>
      <w:r>
        <w:rPr>
          <w:b/>
        </w:rPr>
        <w:t>E. 4.5</w:t>
      </w:r>
    </w:p>
    <w:p>
      <w:r>
        <w:t>Il s'avère donc, que la notion de réduction de l'horaire de travail au sens de l' art. 24 al. 1 OLAA ne peut s'interpréter que par référence à la réglementation de la LACI en ce domaine (dans ce sens également, ALFRED MAURER, Schweizerisches Unfallversicherungsrecht, 1985, p. 330, note de bas de page 814a).</w:t>
      </w:r>
    </w:p>
    <w:p>
      <w:r>
        <w:rPr>
          <w:b/>
        </w:rPr>
        <w:t>E. 4.6</w:t>
      </w:r>
    </w:p>
    <w:p>
      <w:r>
        <w:t>En l'espèce, le recourant ne prétend pas que la baisse d'activité alléguée a donné lieu à des indemnités de l'assurance-chômage. Du reste, les pertes de travail habituelles dans la branche, la profession ou l'entreprise, de même que les fluctuations saisonnières de l'emploi ne sont pas prises en considération au titre de perte de travail indemnisable par l'assurance-chômage ( art. 33 al. 1 let. b LACI ). Or, de l'aveu même du recourant, c'est bien de cela qu'il s'agit en BGE 137 V 405 S. 410 l'espèce, à savoir des variations qui surviennent à des périodes déterminées de l'année et qui n'ont de ce fait rien d'extraordinaire. En l'espèce, il en est certes résulté une diminution de salaire pour les mois considérés. Le recourant ne prétend toutefois pas qu'il avait droit durant ces périodes à un salaire correspondant à un horaire de travail non réduit (cf. l' art. 22 al. 4, 1 re phrase, OLAA). Hormis les exceptions prévues à l' art. 24 OLAA (voir aussi l'art. 22 al. 4, 2 e phrase, OLAA), la règle est celle du salaire effectivement perçu et non le salaire hypothétique que l'assuré aurait touché si son horaire de travail n'avait pas été sujet à variations.</w:t>
      </w:r>
    </w:p>
    <w:p>
      <w:r>
        <w:rPr>
          <w:b/>
        </w:rPr>
        <w:t>E. 4.7</w:t>
      </w:r>
    </w:p>
    <w:p>
      <w:r>
        <w:t>Le moyen soulevé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